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/>
          <w:snapToGrid w:val="0"/>
          <w:sz w:val="36"/>
          <w:szCs w:val="36"/>
          <w:lang w:eastAsia="zh-Hans"/>
        </w:rPr>
      </w:pPr>
      <w:r>
        <w:rPr>
          <w:rFonts w:hint="eastAsia" w:ascii="华文中宋" w:hAnsi="华文中宋" w:eastAsia="华文中宋"/>
          <w:b/>
          <w:snapToGrid w:val="0"/>
          <w:sz w:val="36"/>
          <w:szCs w:val="36"/>
          <w:lang w:eastAsia="zh-Hans"/>
        </w:rPr>
        <w:t>附件</w:t>
      </w:r>
      <w:r>
        <w:rPr>
          <w:rFonts w:ascii="华文中宋" w:hAnsi="华文中宋" w:eastAsia="华文中宋"/>
          <w:b/>
          <w:snapToGrid w:val="0"/>
          <w:sz w:val="36"/>
          <w:szCs w:val="36"/>
          <w:lang w:eastAsia="zh-Hans"/>
        </w:rPr>
        <w:t>1</w:t>
      </w:r>
      <w:r>
        <w:rPr>
          <w:rFonts w:hint="eastAsia" w:ascii="华文中宋" w:hAnsi="华文中宋" w:eastAsia="华文中宋"/>
          <w:b/>
          <w:snapToGrid w:val="0"/>
          <w:sz w:val="36"/>
          <w:szCs w:val="36"/>
          <w:lang w:eastAsia="zh-Hans"/>
        </w:rPr>
        <w:t>: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华文中宋" w:hAnsi="华文中宋" w:eastAsia="华文中宋"/>
          <w:b/>
          <w:snapToGrid w:val="0"/>
          <w:sz w:val="36"/>
          <w:szCs w:val="36"/>
          <w:lang w:eastAsia="zh-Hans"/>
        </w:rPr>
        <w:t>地球科学与技术学院</w:t>
      </w:r>
      <w:r>
        <w:rPr>
          <w:rFonts w:ascii="华文中宋" w:hAnsi="华文中宋" w:eastAsia="华文中宋"/>
          <w:b/>
          <w:snapToGrid w:val="0"/>
          <w:sz w:val="36"/>
          <w:szCs w:val="36"/>
          <w:lang w:eastAsia="zh-Hans"/>
        </w:rPr>
        <w:t>2022</w:t>
      </w:r>
      <w:r>
        <w:rPr>
          <w:rFonts w:hint="eastAsia" w:ascii="华文中宋" w:hAnsi="华文中宋" w:eastAsia="华文中宋"/>
          <w:b/>
          <w:snapToGrid w:val="0"/>
          <w:sz w:val="36"/>
          <w:szCs w:val="36"/>
          <w:lang w:eastAsia="zh-Hans"/>
        </w:rPr>
        <w:t>年基层党建与思想政治课题研究参考选题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Hans"/>
        </w:rPr>
        <w:t>学院确定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一些重点选题方向和研究范围供参考，鼓励各级党组织围绕这些方向和范围进行项目设计，开展创新研究。也可以参考这些方向结合本单位工作实际自行设计选题，确定具体题目申报。</w:t>
      </w:r>
    </w:p>
    <w:p>
      <w:pPr>
        <w:spacing w:line="560" w:lineRule="exact"/>
        <w:ind w:firstLine="420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供参考选题方向和研究范围如下：</w:t>
      </w:r>
    </w:p>
    <w:p>
      <w:pPr>
        <w:widowControl/>
        <w:ind w:firstLine="560" w:firstLineChars="200"/>
        <w:rPr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1.高质量党建引领高质量发展方法路径研究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2.加强全面从严治党工作研究</w:t>
      </w:r>
    </w:p>
    <w:p>
      <w:pPr>
        <w:widowControl/>
        <w:ind w:firstLine="560" w:firstLineChars="200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Hans" w:bidi="ar"/>
        </w:rPr>
        <w:t>.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  <w:t>在高知群体中发展党员工作研究</w:t>
      </w:r>
    </w:p>
    <w:p>
      <w:pPr>
        <w:widowControl/>
        <w:spacing w:line="240" w:lineRule="auto"/>
        <w:ind w:firstLine="560" w:firstLineChars="200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  <w:t>4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Hans" w:bidi="ar"/>
        </w:rPr>
        <w:t>.</w:t>
      </w:r>
      <w:r>
        <w:rPr>
          <w:rFonts w:hint="default" w:ascii="仿宋_GB2312" w:hAnsi="宋体" w:eastAsia="仿宋_GB2312" w:cs="仿宋_GB2312"/>
          <w:b w:val="0"/>
          <w:snapToGrid/>
          <w:color w:val="000000"/>
          <w:kern w:val="0"/>
          <w:sz w:val="28"/>
          <w:szCs w:val="28"/>
          <w:lang w:bidi="ar"/>
        </w:rPr>
        <w:t>样板党支部培育与作用发挥研究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5.提升高校基层党组织政治能力研究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6.基层党组织议事决策规范提升研究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7.学生党员教育管理的创新研究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8.深化党员分类管理工作研究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9.党员发展质量提升研究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10.加大在低年级大学生中发展党员工作的研究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11.高校党建示范创建和质量创优工作研究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12.加强党务工作者队伍建设研究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13.教师党支部书记“双带头人”培育提升研究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14.学生党支部书记党务工作能力提升研究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15.组织员队伍建设研究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16.党支部评星定级管理研究 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17.党支部联建共建研究</w:t>
      </w:r>
    </w:p>
    <w:p>
      <w:pPr>
        <w:widowControl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18.全媒体环境下的党建工作创新研究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19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.新时代提升高校基层党支部组织生活质量的创新性研究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0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.发挥基层党组织作用助推一流大学建设途径探析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21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  <w:t>.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基层党组织组织育人功能发挥实践研究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22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.落实意识形态工作责任制的有效措施和方法探析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23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.新时代加强大学生网络意识形态工作的方法和途径研究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  <w:t>24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  <w:t>.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入党后保持党员先进性的有效途径研究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25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.学生流动党员的教育管理研究——以外地实习、出国（境）留学等学生流动党员为例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26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.新时代学生党建在育人育才工作中的创新性研究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27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.高校党员思想状况调查及其对策研究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28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.学生党支部发挥作用机制和平台构建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29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.增强组织生活或主题党日有效性研究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30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.党员学习教育活动内容与形式创新探索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31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.学生党员骨干培养机制研究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32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.加强基层党组织宣传工作创新机制研究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33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.党员活动室、党建文化阵地建设实践探索与研究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34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.党课模式创新与作用发挥机制研究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35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.发挥基层党组织在推进课程思政工作中的作用机制探索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36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.充分发挥基层党建示范点的引领作用研究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37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.党建在师德师风及学风建设中的引领作用机制研究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38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.在人才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  <w:t>引育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方面如何更好地发挥各级党组织的政治引领作用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39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.党内激励关怀机制研究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40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.学生党支部、班级、团支部协同工作机制建设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41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.拓展党员志愿服务模式研究</w:t>
      </w:r>
    </w:p>
    <w:p>
      <w:pPr>
        <w:widowControl/>
        <w:spacing w:line="240" w:lineRule="auto"/>
        <w:ind w:firstLine="560" w:firstLineChars="200"/>
        <w:rPr>
          <w:rFonts w:hint="default" w:ascii="仿宋_GB2312" w:hAnsi="宋体" w:eastAsia="仿宋_GB2312" w:cs="仿宋_GB2312"/>
          <w:snapToGrid/>
          <w:color w:val="000000"/>
          <w:kern w:val="0"/>
          <w:sz w:val="28"/>
          <w:szCs w:val="28"/>
          <w:lang w:bidi="ar"/>
        </w:rPr>
      </w:pPr>
      <w:r>
        <w:rPr>
          <w:rFonts w:hint="default" w:ascii="仿宋_GB2312" w:hAnsi="宋体" w:eastAsia="仿宋_GB2312" w:cs="仿宋_GB2312"/>
          <w:snapToGrid/>
          <w:color w:val="000000"/>
          <w:kern w:val="0"/>
          <w:sz w:val="28"/>
          <w:szCs w:val="28"/>
          <w:lang w:bidi="ar"/>
        </w:rPr>
        <w:t>4</w:t>
      </w:r>
      <w:r>
        <w:rPr>
          <w:rFonts w:ascii="仿宋_GB2312" w:hAnsi="宋体" w:eastAsia="仿宋_GB2312" w:cs="仿宋_GB2312"/>
          <w:snapToGrid/>
          <w:color w:val="000000"/>
          <w:kern w:val="0"/>
          <w:sz w:val="28"/>
          <w:szCs w:val="28"/>
          <w:lang w:bidi="ar"/>
        </w:rPr>
        <w:t>2.</w:t>
      </w:r>
      <w:r>
        <w:rPr>
          <w:rFonts w:hint="default" w:ascii="仿宋_GB2312" w:hAnsi="宋体" w:eastAsia="仿宋_GB2312" w:cs="仿宋_GB2312"/>
          <w:snapToGrid/>
          <w:color w:val="000000"/>
          <w:kern w:val="0"/>
          <w:sz w:val="28"/>
          <w:szCs w:val="28"/>
          <w:lang w:bidi="ar"/>
        </w:rPr>
        <w:t>大思政格局下育人平台体系研究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snapToGrid/>
          <w:color w:val="000000"/>
          <w:kern w:val="0"/>
          <w:sz w:val="28"/>
          <w:szCs w:val="28"/>
          <w:lang w:bidi="ar"/>
        </w:rPr>
      </w:pPr>
      <w:r>
        <w:rPr>
          <w:rFonts w:hint="default" w:ascii="仿宋_GB2312" w:hAnsi="宋体" w:eastAsia="仿宋_GB2312" w:cs="仿宋_GB2312"/>
          <w:b w:val="0"/>
          <w:snapToGrid/>
          <w:color w:val="000000"/>
          <w:kern w:val="0"/>
          <w:sz w:val="28"/>
          <w:szCs w:val="28"/>
          <w:lang w:bidi="ar"/>
        </w:rPr>
        <w:t>4</w:t>
      </w:r>
      <w:r>
        <w:rPr>
          <w:rFonts w:ascii="仿宋_GB2312" w:hAnsi="宋体" w:eastAsia="仿宋_GB2312" w:cs="仿宋_GB2312"/>
          <w:b w:val="0"/>
          <w:snapToGrid/>
          <w:color w:val="000000"/>
          <w:kern w:val="0"/>
          <w:sz w:val="28"/>
          <w:szCs w:val="28"/>
          <w:lang w:bidi="ar"/>
        </w:rPr>
        <w:t>3</w:t>
      </w:r>
      <w:r>
        <w:rPr>
          <w:rFonts w:hint="default" w:ascii="仿宋_GB2312" w:hAnsi="宋体" w:eastAsia="仿宋_GB2312" w:cs="仿宋_GB2312"/>
          <w:b w:val="0"/>
          <w:snapToGrid/>
          <w:color w:val="000000"/>
          <w:kern w:val="0"/>
          <w:sz w:val="28"/>
          <w:szCs w:val="28"/>
          <w:lang w:bidi="ar"/>
        </w:rPr>
        <w:t>.</w:t>
      </w:r>
      <w:r>
        <w:rPr>
          <w:rFonts w:hint="default" w:ascii="仿宋_GB2312" w:hAnsi="宋体" w:eastAsia="仿宋_GB2312" w:cs="仿宋_GB2312"/>
          <w:b w:val="0"/>
          <w:snapToGrid/>
          <w:color w:val="000000"/>
          <w:kern w:val="0"/>
          <w:sz w:val="28"/>
          <w:szCs w:val="28"/>
          <w:lang w:bidi="ar"/>
        </w:rPr>
        <w:t>新时代高校党建带团建工作路径研究</w:t>
      </w: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snapToGrid/>
          <w:color w:val="000000"/>
          <w:kern w:val="0"/>
          <w:sz w:val="28"/>
          <w:szCs w:val="28"/>
          <w:lang w:bidi="ar"/>
        </w:rPr>
      </w:pPr>
      <w:r>
        <w:rPr>
          <w:rFonts w:hint="default" w:ascii="仿宋_GB2312" w:hAnsi="宋体" w:eastAsia="仿宋_GB2312" w:cs="仿宋_GB2312"/>
          <w:b w:val="0"/>
          <w:snapToGrid/>
          <w:color w:val="000000"/>
          <w:kern w:val="0"/>
          <w:sz w:val="28"/>
          <w:szCs w:val="28"/>
          <w:lang w:bidi="ar"/>
        </w:rPr>
        <w:t>4</w:t>
      </w:r>
      <w:r>
        <w:rPr>
          <w:rFonts w:ascii="仿宋_GB2312" w:hAnsi="宋体" w:eastAsia="仿宋_GB2312" w:cs="仿宋_GB2312"/>
          <w:snapToGrid/>
          <w:color w:val="000000"/>
          <w:kern w:val="0"/>
          <w:sz w:val="28"/>
          <w:szCs w:val="28"/>
          <w:lang w:bidi="ar"/>
        </w:rPr>
        <w:t>4</w:t>
      </w:r>
      <w:r>
        <w:rPr>
          <w:rFonts w:ascii="仿宋_GB2312" w:hAnsi="宋体" w:eastAsia="仿宋_GB2312" w:cs="仿宋_GB2312"/>
          <w:b w:val="0"/>
          <w:snapToGrid/>
          <w:color w:val="000000"/>
          <w:kern w:val="0"/>
          <w:sz w:val="28"/>
          <w:szCs w:val="28"/>
          <w:lang w:bidi="ar"/>
        </w:rPr>
        <w:t>.</w:t>
      </w:r>
      <w:r>
        <w:rPr>
          <w:rFonts w:hint="default" w:ascii="仿宋_GB2312" w:hAnsi="宋体" w:eastAsia="仿宋_GB2312" w:cs="仿宋_GB2312"/>
          <w:snapToGrid/>
          <w:color w:val="000000"/>
          <w:kern w:val="0"/>
          <w:sz w:val="28"/>
          <w:szCs w:val="28"/>
          <w:lang w:bidi="ar"/>
        </w:rPr>
        <w:t>学生党员专业知识作用发挥路径探究</w:t>
      </w:r>
      <w:bookmarkStart w:id="0" w:name="_GoBack"/>
      <w:bookmarkEnd w:id="0"/>
    </w:p>
    <w:p>
      <w:pPr>
        <w:widowControl/>
        <w:spacing w:line="240" w:lineRule="auto"/>
        <w:ind w:firstLine="560" w:firstLineChars="200"/>
        <w:rPr>
          <w:rFonts w:hint="default" w:ascii="仿宋_GB2312" w:hAnsi="宋体" w:eastAsia="仿宋_GB2312" w:cs="仿宋_GB2312"/>
          <w:b w:val="0"/>
          <w:snapToGrid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240" w:lineRule="auto"/>
        <w:ind w:firstLine="560" w:firstLineChars="200"/>
        <w:rPr>
          <w:rFonts w:ascii="仿宋_GB2312" w:hAnsi="宋体" w:eastAsia="仿宋_GB2312" w:cs="仿宋_GB2312"/>
          <w:b w:val="0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560" w:firstLineChars="200"/>
        <w:jc w:val="both"/>
        <w:rPr>
          <w:rFonts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</w:pPr>
    </w:p>
    <w:p>
      <w:pPr>
        <w:widowControl/>
        <w:ind w:firstLine="560" w:firstLineChars="200"/>
        <w:jc w:val="both"/>
        <w:rPr>
          <w:rFonts w:ascii="仿宋_GB2312" w:hAnsi="宋体" w:eastAsia="仿宋_GB2312" w:cs="仿宋_GB2312"/>
          <w:color w:val="000000"/>
          <w:kern w:val="0"/>
          <w:sz w:val="28"/>
          <w:szCs w:val="28"/>
          <w:lang w:eastAsia="zh-Hans" w:bidi="ar"/>
        </w:rPr>
      </w:pPr>
    </w:p>
    <w:p>
      <w:pPr>
        <w:widowControl/>
        <w:ind w:firstLine="560" w:firstLineChars="200"/>
        <w:jc w:val="both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C2C35"/>
    <w:rsid w:val="001102E1"/>
    <w:rsid w:val="001A3F76"/>
    <w:rsid w:val="002A7831"/>
    <w:rsid w:val="006D47ED"/>
    <w:rsid w:val="007E797C"/>
    <w:rsid w:val="00B36A8E"/>
    <w:rsid w:val="00B679C4"/>
    <w:rsid w:val="00DB59A4"/>
    <w:rsid w:val="00E471A5"/>
    <w:rsid w:val="4F37938A"/>
    <w:rsid w:val="7FCFC5C2"/>
    <w:rsid w:val="BB7E9C84"/>
    <w:rsid w:val="EFFC2C35"/>
    <w:rsid w:val="F3F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2022-03-22T21:53:00Z</dcterms:created>
  <dc:creator>youxulong</dc:creator>
  <cp:lastModifiedBy>youxulong</cp:lastModifiedBy>
  <dcterms:modified xsi:type="dcterms:W3CDTF">2022-03-22T16:29:17Z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